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21" w:rsidRPr="00810FB5" w:rsidRDefault="00B70421" w:rsidP="00B70421">
      <w:pPr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0FB5">
        <w:rPr>
          <w:rFonts w:ascii="Times New Roman" w:hAnsi="Times New Roman" w:cs="Times New Roman"/>
          <w:b/>
          <w:i/>
          <w:sz w:val="26"/>
          <w:szCs w:val="26"/>
        </w:rPr>
        <w:t>Информация о деятельности ОАО «Минский маргариновый завод» за 20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810FB5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B70421" w:rsidRPr="007F5003" w:rsidRDefault="00B70421" w:rsidP="00B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Открытое акционерное общество «Минский маргариновый завод» (далее – Общество) создано на основании приказа Госкомимущества Республики Беларусь от 30 декабря 1993 года № 222 путем преобразования государственного предприятия «Минский маргариновый завод» в соответствии с законодательством Республики Беларусь о приватизации государственного имущества.</w:t>
      </w:r>
    </w:p>
    <w:p w:rsidR="00B70421" w:rsidRPr="007F5003" w:rsidRDefault="00B70421" w:rsidP="00B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Общество является 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масложировой отрасли, о</w:t>
      </w:r>
      <w:r w:rsidRPr="007F5003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5003">
        <w:rPr>
          <w:rFonts w:ascii="Times New Roman" w:hAnsi="Times New Roman" w:cs="Times New Roman"/>
          <w:sz w:val="24"/>
          <w:szCs w:val="24"/>
        </w:rPr>
        <w:t xml:space="preserve"> цель деятельности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7F5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5003">
        <w:rPr>
          <w:rFonts w:ascii="Times New Roman" w:hAnsi="Times New Roman" w:cs="Times New Roman"/>
          <w:sz w:val="24"/>
          <w:szCs w:val="24"/>
        </w:rPr>
        <w:t xml:space="preserve"> получение прибыли.</w:t>
      </w:r>
    </w:p>
    <w:p w:rsidR="00B70421" w:rsidRDefault="00B70421" w:rsidP="00B70421">
      <w:pPr>
        <w:pStyle w:val="Con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виды деятельности Общества: </w:t>
      </w:r>
    </w:p>
    <w:p w:rsidR="00B70421" w:rsidRDefault="00B70421" w:rsidP="00B70421">
      <w:pPr>
        <w:pStyle w:val="Con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рафинированных масел и жиров</w:t>
      </w:r>
      <w:r>
        <w:rPr>
          <w:rFonts w:ascii="Times New Roman" w:hAnsi="Times New Roman"/>
          <w:sz w:val="24"/>
        </w:rPr>
        <w:t>;</w:t>
      </w:r>
    </w:p>
    <w:p w:rsidR="00B70421" w:rsidRDefault="00B70421" w:rsidP="00B70421">
      <w:pPr>
        <w:pStyle w:val="ConsNonformat"/>
        <w:widowControl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маргарина</w:t>
      </w:r>
      <w:r>
        <w:rPr>
          <w:rFonts w:ascii="Times New Roman" w:hAnsi="Times New Roman"/>
          <w:sz w:val="24"/>
        </w:rPr>
        <w:t>;</w:t>
      </w:r>
      <w:r w:rsidRPr="00162E22">
        <w:rPr>
          <w:rFonts w:ascii="Times New Roman" w:hAnsi="Times New Roman"/>
          <w:sz w:val="24"/>
        </w:rPr>
        <w:t xml:space="preserve"> </w:t>
      </w:r>
    </w:p>
    <w:p w:rsidR="00B70421" w:rsidRPr="00162E22" w:rsidRDefault="00B70421" w:rsidP="00B70421">
      <w:pPr>
        <w:pStyle w:val="ConsNonformat"/>
        <w:widowControl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пряностей и приправ (майонезов, соусов, кетчупов, хрена, горчицы)</w:t>
      </w:r>
      <w:r>
        <w:rPr>
          <w:rFonts w:ascii="Times New Roman" w:hAnsi="Times New Roman"/>
          <w:sz w:val="24"/>
        </w:rPr>
        <w:t>.</w:t>
      </w:r>
    </w:p>
    <w:p w:rsidR="00B70421" w:rsidRPr="007F5003" w:rsidRDefault="00B70421" w:rsidP="000B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7F5003">
        <w:rPr>
          <w:rFonts w:ascii="Times New Roman" w:hAnsi="Times New Roman" w:cs="Times New Roman"/>
          <w:sz w:val="24"/>
          <w:szCs w:val="24"/>
        </w:rPr>
        <w:t>ставн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5003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5003">
        <w:rPr>
          <w:rFonts w:ascii="Times New Roman" w:hAnsi="Times New Roman" w:cs="Times New Roman"/>
          <w:sz w:val="24"/>
          <w:szCs w:val="24"/>
        </w:rPr>
        <w:t xml:space="preserve"> 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номинальная стоимость одной акции не изменялись. На 01.0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0D4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размер уставного фонда составил</w:t>
      </w:r>
      <w:r w:rsidRPr="007F5003">
        <w:rPr>
          <w:rFonts w:ascii="Times New Roman" w:hAnsi="Times New Roman" w:cs="Times New Roman"/>
          <w:sz w:val="24"/>
          <w:szCs w:val="24"/>
        </w:rPr>
        <w:t xml:space="preserve"> 8 671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5003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7F5003"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</w:rPr>
        <w:t>орусских</w:t>
      </w:r>
      <w:r w:rsidRPr="007F500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Уставный фонд</w:t>
      </w:r>
      <w:r w:rsidRPr="007F5003">
        <w:rPr>
          <w:rFonts w:ascii="Times New Roman" w:hAnsi="Times New Roman" w:cs="Times New Roman"/>
          <w:sz w:val="24"/>
          <w:szCs w:val="24"/>
        </w:rPr>
        <w:t xml:space="preserve"> поделен на 559 426 простых </w:t>
      </w:r>
      <w:r>
        <w:rPr>
          <w:rFonts w:ascii="Times New Roman" w:hAnsi="Times New Roman" w:cs="Times New Roman"/>
          <w:sz w:val="24"/>
          <w:szCs w:val="24"/>
        </w:rPr>
        <w:t>(обыкновенных)</w:t>
      </w:r>
      <w:r w:rsidRPr="007F5003">
        <w:rPr>
          <w:rFonts w:ascii="Times New Roman" w:hAnsi="Times New Roman" w:cs="Times New Roman"/>
          <w:sz w:val="24"/>
          <w:szCs w:val="24"/>
        </w:rPr>
        <w:t xml:space="preserve"> акций номинальной стоимостью 15,50 бел</w:t>
      </w:r>
      <w:r>
        <w:rPr>
          <w:rFonts w:ascii="Times New Roman" w:hAnsi="Times New Roman" w:cs="Times New Roman"/>
          <w:sz w:val="24"/>
          <w:szCs w:val="24"/>
        </w:rPr>
        <w:t>орусских</w:t>
      </w:r>
      <w:r w:rsidRPr="007F5003">
        <w:rPr>
          <w:rFonts w:ascii="Times New Roman" w:hAnsi="Times New Roman" w:cs="Times New Roman"/>
          <w:sz w:val="24"/>
          <w:szCs w:val="24"/>
        </w:rPr>
        <w:t xml:space="preserve"> рублей. Акции распределены следующим образом:</w:t>
      </w:r>
    </w:p>
    <w:tbl>
      <w:tblPr>
        <w:tblW w:w="0" w:type="auto"/>
        <w:tblInd w:w="4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0"/>
        <w:gridCol w:w="3404"/>
        <w:gridCol w:w="1726"/>
        <w:gridCol w:w="2100"/>
        <w:gridCol w:w="1523"/>
      </w:tblGrid>
      <w:tr w:rsidR="00B70421" w:rsidRPr="007F5003" w:rsidTr="003452AD">
        <w:trPr>
          <w:trHeight w:hRule="exact" w:val="104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№ п/п</w:t>
            </w:r>
          </w:p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Наименование акционеров</w:t>
            </w:r>
          </w:p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 xml:space="preserve">Кол-во акционеров </w:t>
            </w:r>
          </w:p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Кол-во акций, принадлежащих акционерам, шт.</w:t>
            </w:r>
          </w:p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Доля в</w:t>
            </w:r>
          </w:p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УФ, %</w:t>
            </w:r>
          </w:p>
          <w:p w:rsidR="00B70421" w:rsidRPr="007F5003" w:rsidRDefault="00B70421" w:rsidP="00345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421" w:rsidRPr="007F5003" w:rsidTr="003452AD">
        <w:trPr>
          <w:trHeight w:hRule="exact" w:val="425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Юридические лица всего: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526 440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94,104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421" w:rsidRPr="007F5003" w:rsidTr="003452AD">
        <w:trPr>
          <w:trHeight w:hRule="exact" w:val="8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1.1.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Государственный комитет по имуществу РБ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526 395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 xml:space="preserve">94,096 </w:t>
            </w:r>
          </w:p>
        </w:tc>
      </w:tr>
      <w:tr w:rsidR="00B70421" w:rsidRPr="007F5003" w:rsidTr="003452AD">
        <w:trPr>
          <w:trHeight w:hRule="exact" w:val="72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7F5003">
              <w:rPr>
                <w:rFonts w:ascii="Times New Roman" w:hAnsi="Times New Roman" w:cs="Times New Roman"/>
              </w:rPr>
              <w:t>Бросток</w:t>
            </w:r>
            <w:proofErr w:type="spellEnd"/>
            <w:r w:rsidRPr="007F5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0,006</w:t>
            </w:r>
          </w:p>
        </w:tc>
      </w:tr>
      <w:tr w:rsidR="00B70421" w:rsidRPr="007F5003" w:rsidTr="003452AD">
        <w:trPr>
          <w:trHeight w:hRule="exact" w:val="46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pStyle w:val="2"/>
              <w:spacing w:after="0" w:line="216" w:lineRule="auto"/>
              <w:rPr>
                <w:sz w:val="22"/>
              </w:rPr>
            </w:pPr>
            <w:r w:rsidRPr="007F5003">
              <w:rPr>
                <w:sz w:val="22"/>
              </w:rPr>
              <w:t>Товарищество на паях по торговле и оказанию услуг «</w:t>
            </w:r>
            <w:proofErr w:type="spellStart"/>
            <w:r w:rsidRPr="007F5003">
              <w:rPr>
                <w:sz w:val="22"/>
              </w:rPr>
              <w:t>Позекс</w:t>
            </w:r>
            <w:proofErr w:type="spellEnd"/>
            <w:r w:rsidRPr="007F5003">
              <w:rPr>
                <w:sz w:val="22"/>
              </w:rPr>
              <w:t>»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 xml:space="preserve">0,002 </w:t>
            </w:r>
          </w:p>
        </w:tc>
      </w:tr>
      <w:tr w:rsidR="00B70421" w:rsidRPr="007F5003" w:rsidTr="003452AD">
        <w:trPr>
          <w:trHeight w:hRule="exact" w:val="61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2.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Физические лица всего:</w:t>
            </w:r>
          </w:p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473CC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003">
              <w:rPr>
                <w:rFonts w:ascii="Times New Roman" w:hAnsi="Times New Roman" w:cs="Times New Roman"/>
              </w:rPr>
              <w:t>1 72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32 986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5,896</w:t>
            </w:r>
          </w:p>
        </w:tc>
      </w:tr>
      <w:tr w:rsidR="00B70421" w:rsidRPr="007F5003" w:rsidTr="003452AD">
        <w:trPr>
          <w:trHeight w:hRule="exact" w:val="61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473CC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003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559 426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421" w:rsidRPr="007F5003" w:rsidRDefault="00B70421" w:rsidP="003452AD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100,000</w:t>
            </w:r>
          </w:p>
        </w:tc>
      </w:tr>
    </w:tbl>
    <w:p w:rsidR="00B70421" w:rsidRDefault="00B70421" w:rsidP="00B70421">
      <w:pPr>
        <w:pStyle w:val="ConsTitle"/>
        <w:widowControl/>
        <w:rPr>
          <w:rFonts w:ascii="Times New Roman" w:hAnsi="Times New Roman"/>
          <w:b w:val="0"/>
          <w:sz w:val="24"/>
        </w:rPr>
      </w:pPr>
    </w:p>
    <w:p w:rsidR="00B70421" w:rsidRDefault="00B70421" w:rsidP="00B704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юридических лицах, участником которых является Общество: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B70421" w:rsidTr="00B70421">
        <w:tc>
          <w:tcPr>
            <w:tcW w:w="4697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48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B70421" w:rsidTr="00B70421">
        <w:tc>
          <w:tcPr>
            <w:tcW w:w="4697" w:type="dxa"/>
          </w:tcPr>
          <w:p w:rsidR="00B70421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B70421" w:rsidTr="00B70421">
        <w:tc>
          <w:tcPr>
            <w:tcW w:w="4697" w:type="dxa"/>
          </w:tcPr>
          <w:p w:rsidR="00B70421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  <w:tr w:rsidR="00B70421" w:rsidTr="00B70421">
        <w:tc>
          <w:tcPr>
            <w:tcW w:w="4697" w:type="dxa"/>
          </w:tcPr>
          <w:p w:rsidR="00B70421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Ассоциация производителей масложировой продукции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Белмасложирпром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</w:tbl>
    <w:p w:rsidR="00B70421" w:rsidRDefault="00B70421" w:rsidP="00B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6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066F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Общество не приобретало и не отчуждало акции, не совершало сделок, в совершении которых имелась заинтересованность его аффилированных лиц. </w:t>
      </w:r>
    </w:p>
    <w:p w:rsidR="00B70421" w:rsidRDefault="00B70421" w:rsidP="00B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(в соответствии с уставом) для закупки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рапса урожая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была заключена крупная (взаимосвязанная) сделка между Обществом и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Белагропромбанк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включающая в себя заключение кредитного договора на сумму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договора об ипотеке в обеспечение исполнения обязательств по кредитному договору. </w:t>
      </w:r>
    </w:p>
    <w:p w:rsidR="00B70421" w:rsidRPr="00DD05BA" w:rsidRDefault="00B70421" w:rsidP="00B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DD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D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темп роста продукции промышленности в базисных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%. П</w:t>
      </w:r>
      <w:r w:rsidRPr="00DD05BA">
        <w:rPr>
          <w:rFonts w:ascii="Times New Roman" w:hAnsi="Times New Roman" w:cs="Times New Roman"/>
          <w:sz w:val="24"/>
          <w:szCs w:val="24"/>
        </w:rPr>
        <w:t xml:space="preserve">о сравнению с </w:t>
      </w:r>
      <w:r>
        <w:rPr>
          <w:rFonts w:ascii="Times New Roman" w:hAnsi="Times New Roman" w:cs="Times New Roman"/>
          <w:sz w:val="24"/>
          <w:szCs w:val="24"/>
        </w:rPr>
        <w:t>предыдущим</w:t>
      </w:r>
      <w:r w:rsidRPr="00DD05BA">
        <w:rPr>
          <w:rFonts w:ascii="Times New Roman" w:hAnsi="Times New Roman" w:cs="Times New Roman"/>
          <w:sz w:val="24"/>
          <w:szCs w:val="24"/>
        </w:rPr>
        <w:t xml:space="preserve"> годом отмечается увеличение объемов производства </w:t>
      </w:r>
      <w:r w:rsidRPr="00DD05BA">
        <w:rPr>
          <w:rFonts w:ascii="Times New Roman" w:hAnsi="Times New Roman" w:cs="Times New Roman"/>
          <w:sz w:val="24"/>
          <w:szCs w:val="24"/>
        </w:rPr>
        <w:lastRenderedPageBreak/>
        <w:t xml:space="preserve">в натуральном выражении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D05BA">
        <w:rPr>
          <w:rFonts w:ascii="Times New Roman" w:hAnsi="Times New Roman" w:cs="Times New Roman"/>
          <w:sz w:val="24"/>
          <w:szCs w:val="24"/>
        </w:rPr>
        <w:t xml:space="preserve">маслу растительному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фасованному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кетчупам, по маргариновой продукции, и горчице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421" w:rsidRPr="009C532B" w:rsidRDefault="00B70421" w:rsidP="00B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BA">
        <w:rPr>
          <w:rFonts w:ascii="Times New Roman" w:hAnsi="Times New Roman" w:cs="Times New Roman"/>
          <w:sz w:val="24"/>
          <w:szCs w:val="24"/>
        </w:rPr>
        <w:tab/>
      </w:r>
      <w:r w:rsidRPr="009C532B">
        <w:rPr>
          <w:rFonts w:ascii="Times New Roman" w:hAnsi="Times New Roman" w:cs="Times New Roman"/>
          <w:sz w:val="24"/>
          <w:szCs w:val="24"/>
        </w:rPr>
        <w:t>Прибыль от реализации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532B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12 387</w:t>
      </w:r>
      <w:r w:rsidRPr="009C532B">
        <w:rPr>
          <w:rFonts w:ascii="Times New Roman" w:hAnsi="Times New Roman" w:cs="Times New Roman"/>
          <w:sz w:val="24"/>
          <w:szCs w:val="24"/>
        </w:rPr>
        <w:t xml:space="preserve"> тыс. рублей, чистая прибыль – </w:t>
      </w:r>
      <w:r>
        <w:rPr>
          <w:rFonts w:ascii="Times New Roman" w:hAnsi="Times New Roman" w:cs="Times New Roman"/>
          <w:sz w:val="24"/>
          <w:szCs w:val="24"/>
        </w:rPr>
        <w:t>8 137</w:t>
      </w:r>
      <w:r w:rsidRPr="009C532B">
        <w:rPr>
          <w:rFonts w:ascii="Times New Roman" w:hAnsi="Times New Roman" w:cs="Times New Roman"/>
          <w:sz w:val="24"/>
          <w:szCs w:val="24"/>
        </w:rPr>
        <w:t xml:space="preserve"> тыс. рублей, рентабельность реализованной продукции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532B">
        <w:rPr>
          <w:rFonts w:ascii="Times New Roman" w:hAnsi="Times New Roman" w:cs="Times New Roman"/>
          <w:sz w:val="24"/>
          <w:szCs w:val="24"/>
        </w:rPr>
        <w:t xml:space="preserve"> %, рентабельность продаж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4,1</w:t>
      </w:r>
      <w:r w:rsidRPr="009C532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70421" w:rsidRPr="00DD05BA" w:rsidRDefault="00B70421" w:rsidP="00B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BA">
        <w:rPr>
          <w:rFonts w:ascii="Times New Roman" w:hAnsi="Times New Roman" w:cs="Times New Roman"/>
          <w:sz w:val="24"/>
          <w:szCs w:val="24"/>
        </w:rPr>
        <w:tab/>
        <w:t>Коэффициенты: текущей ликвидности, обеспеченности собственными оборотными средствами, обеспеченности финансовых обязательств активами соответствуют нормативным значениям, предусмотренным для масложировой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5BA">
        <w:rPr>
          <w:rFonts w:ascii="Times New Roman" w:hAnsi="Times New Roman" w:cs="Times New Roman"/>
          <w:sz w:val="24"/>
          <w:szCs w:val="24"/>
        </w:rPr>
        <w:t xml:space="preserve">Структура баланса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DD05BA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D05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05BA">
        <w:rPr>
          <w:rFonts w:ascii="Times New Roman" w:hAnsi="Times New Roman" w:cs="Times New Roman"/>
          <w:sz w:val="24"/>
          <w:szCs w:val="24"/>
        </w:rPr>
        <w:t xml:space="preserve"> является удовлетворительной.</w:t>
      </w:r>
    </w:p>
    <w:p w:rsidR="00B70421" w:rsidRDefault="00B70421" w:rsidP="00B7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65C1">
        <w:rPr>
          <w:rFonts w:ascii="Times New Roman" w:hAnsi="Times New Roman" w:cs="Times New Roman"/>
          <w:sz w:val="24"/>
          <w:szCs w:val="24"/>
        </w:rPr>
        <w:t>1</w:t>
      </w:r>
      <w:r w:rsidRPr="007F500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5003">
        <w:rPr>
          <w:rFonts w:ascii="Times New Roman" w:hAnsi="Times New Roman" w:cs="Times New Roman"/>
          <w:sz w:val="24"/>
          <w:szCs w:val="24"/>
        </w:rPr>
        <w:t>по результатам работы за 20</w:t>
      </w:r>
      <w:r w:rsidR="000B65C1">
        <w:rPr>
          <w:rFonts w:ascii="Times New Roman" w:hAnsi="Times New Roman" w:cs="Times New Roman"/>
          <w:sz w:val="24"/>
          <w:szCs w:val="24"/>
        </w:rPr>
        <w:t>20</w:t>
      </w:r>
      <w:r w:rsidRPr="007F500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5003">
        <w:rPr>
          <w:rFonts w:ascii="Times New Roman" w:hAnsi="Times New Roman" w:cs="Times New Roman"/>
          <w:sz w:val="24"/>
          <w:szCs w:val="24"/>
        </w:rPr>
        <w:t xml:space="preserve"> чистая прибыль была направлена на выплату дивидендов в размере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003">
        <w:rPr>
          <w:rFonts w:ascii="Times New Roman" w:hAnsi="Times New Roman" w:cs="Times New Roman"/>
          <w:sz w:val="24"/>
          <w:szCs w:val="24"/>
        </w:rPr>
        <w:t>% в соответствии с Указом Президента РБ от 28.12.2005г. № 637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прибыли в размере 5 % от годового фонда заработной платы была направлена на создание резервного фонда заработной платы, </w:t>
      </w:r>
      <w:r w:rsidRPr="007F5003">
        <w:rPr>
          <w:rFonts w:ascii="Times New Roman" w:hAnsi="Times New Roman" w:cs="Times New Roman"/>
          <w:sz w:val="24"/>
          <w:szCs w:val="24"/>
        </w:rPr>
        <w:t>оставшаяся часть прибыли направлена на капитальные вложения.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003">
        <w:rPr>
          <w:rFonts w:ascii="Times New Roman" w:hAnsi="Times New Roman" w:cs="Times New Roman"/>
          <w:sz w:val="24"/>
          <w:szCs w:val="24"/>
        </w:rPr>
        <w:t>Общество также направило часть прибыли на отчисления во внебюджетный централизованный инвестиционный фонд концерна «</w:t>
      </w:r>
      <w:proofErr w:type="spellStart"/>
      <w:r w:rsidRPr="007F5003">
        <w:rPr>
          <w:rFonts w:ascii="Times New Roman" w:hAnsi="Times New Roman" w:cs="Times New Roman"/>
          <w:sz w:val="24"/>
          <w:szCs w:val="24"/>
        </w:rPr>
        <w:t>Белгоспищепром</w:t>
      </w:r>
      <w:proofErr w:type="spellEnd"/>
      <w:r w:rsidRPr="007F5003">
        <w:rPr>
          <w:rFonts w:ascii="Times New Roman" w:hAnsi="Times New Roman" w:cs="Times New Roman"/>
          <w:sz w:val="24"/>
          <w:szCs w:val="24"/>
        </w:rPr>
        <w:t>» в соответствии с установленным концерном норматив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F5003">
        <w:rPr>
          <w:rFonts w:ascii="Times New Roman" w:hAnsi="Times New Roman" w:cs="Times New Roman"/>
          <w:sz w:val="24"/>
          <w:szCs w:val="24"/>
        </w:rPr>
        <w:t>.</w:t>
      </w:r>
    </w:p>
    <w:p w:rsidR="00B70421" w:rsidRDefault="00B70421" w:rsidP="000B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0B65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разработан и утвержден бизнес-план развития Общества, в соответствии с которым ниже представлены п</w:t>
      </w:r>
      <w:r w:rsidRPr="007F5BC9">
        <w:rPr>
          <w:rFonts w:ascii="Times New Roman" w:hAnsi="Times New Roman" w:cs="Times New Roman"/>
          <w:sz w:val="24"/>
          <w:szCs w:val="24"/>
        </w:rPr>
        <w:t>ланируемые ключевые показатели эффективности работы ОАО «Минский маргариновый завод»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C1" w:rsidRPr="004E71E3" w:rsidRDefault="000B65C1" w:rsidP="000B6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704"/>
        <w:gridCol w:w="1383"/>
        <w:gridCol w:w="1384"/>
        <w:gridCol w:w="1391"/>
        <w:gridCol w:w="1352"/>
      </w:tblGrid>
      <w:tr w:rsidR="00B70421" w:rsidTr="000B65C1">
        <w:tc>
          <w:tcPr>
            <w:tcW w:w="3131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4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83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384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391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352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B70421" w:rsidTr="000B65C1">
        <w:tc>
          <w:tcPr>
            <w:tcW w:w="3131" w:type="dxa"/>
          </w:tcPr>
          <w:p w:rsidR="00B70421" w:rsidRPr="004E71E3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производства промышленной продукции в базисных ценах </w:t>
            </w:r>
          </w:p>
        </w:tc>
        <w:tc>
          <w:tcPr>
            <w:tcW w:w="70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91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0B65C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0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0421" w:rsidTr="000B65C1">
        <w:tc>
          <w:tcPr>
            <w:tcW w:w="3131" w:type="dxa"/>
          </w:tcPr>
          <w:p w:rsidR="00B70421" w:rsidRPr="004E71E3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704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84" w:type="dxa"/>
          </w:tcPr>
          <w:p w:rsidR="00B70421" w:rsidRPr="004E71E3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B70421" w:rsidRPr="004E71E3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B70421" w:rsidRPr="004E71E3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421" w:rsidTr="000B65C1">
        <w:trPr>
          <w:trHeight w:val="537"/>
        </w:trPr>
        <w:tc>
          <w:tcPr>
            <w:tcW w:w="3131" w:type="dxa"/>
          </w:tcPr>
          <w:p w:rsidR="00B70421" w:rsidRPr="004E71E3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⁕</w:t>
            </w:r>
          </w:p>
        </w:tc>
        <w:tc>
          <w:tcPr>
            <w:tcW w:w="704" w:type="dxa"/>
          </w:tcPr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84" w:type="dxa"/>
          </w:tcPr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91" w:type="dxa"/>
          </w:tcPr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52" w:type="dxa"/>
          </w:tcPr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B70421" w:rsidTr="000B65C1">
        <w:tc>
          <w:tcPr>
            <w:tcW w:w="3131" w:type="dxa"/>
          </w:tcPr>
          <w:p w:rsidR="00B70421" w:rsidRPr="004E71E3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</w:t>
            </w: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готовой продукции и среднемесячного объема производства</w:t>
            </w:r>
          </w:p>
        </w:tc>
        <w:tc>
          <w:tcPr>
            <w:tcW w:w="70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38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91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52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Pr="004E71E3" w:rsidRDefault="000B65C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B70421" w:rsidTr="000B65C1">
        <w:tc>
          <w:tcPr>
            <w:tcW w:w="3131" w:type="dxa"/>
          </w:tcPr>
          <w:p w:rsidR="00B70421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затрат на производство и реализацию продукции</w:t>
            </w:r>
          </w:p>
        </w:tc>
        <w:tc>
          <w:tcPr>
            <w:tcW w:w="70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70421" w:rsidTr="000B65C1">
        <w:tc>
          <w:tcPr>
            <w:tcW w:w="3131" w:type="dxa"/>
          </w:tcPr>
          <w:p w:rsidR="00B70421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внешней просроченной дебиторской задолженности в общей сумме внешней дебиторской задолженности</w:t>
            </w:r>
          </w:p>
        </w:tc>
        <w:tc>
          <w:tcPr>
            <w:tcW w:w="70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421" w:rsidTr="000B65C1">
        <w:trPr>
          <w:trHeight w:val="639"/>
        </w:trPr>
        <w:tc>
          <w:tcPr>
            <w:tcW w:w="3131" w:type="dxa"/>
          </w:tcPr>
          <w:p w:rsidR="00B70421" w:rsidRDefault="00B70421" w:rsidP="0034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 энергосбережению</w:t>
            </w:r>
          </w:p>
        </w:tc>
        <w:tc>
          <w:tcPr>
            <w:tcW w:w="704" w:type="dxa"/>
          </w:tcPr>
          <w:p w:rsidR="00B70421" w:rsidRDefault="00B70421" w:rsidP="003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84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91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2" w:type="dxa"/>
          </w:tcPr>
          <w:p w:rsidR="00B70421" w:rsidRDefault="00B70421" w:rsidP="000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5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B70421" w:rsidRDefault="00B70421" w:rsidP="00B70421">
      <w:pPr>
        <w:jc w:val="both"/>
        <w:rPr>
          <w:rFonts w:ascii="Times New Roman" w:hAnsi="Times New Roman" w:cs="Times New Roman"/>
          <w:sz w:val="24"/>
          <w:szCs w:val="24"/>
        </w:rPr>
        <w:sectPr w:rsidR="00B70421" w:rsidSect="00B363C7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60837" w:rsidRDefault="00A60837"/>
    <w:sectPr w:rsidR="00A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21"/>
    <w:rsid w:val="000B65C1"/>
    <w:rsid w:val="00A60837"/>
    <w:rsid w:val="00B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8915-3841-4240-BE6D-3D12B136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704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B7042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04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7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0F83-1B2D-41D7-BC95-D077B50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2022-03-16T07:14:00Z</dcterms:created>
  <dcterms:modified xsi:type="dcterms:W3CDTF">2022-03-16T07:35:00Z</dcterms:modified>
</cp:coreProperties>
</file>